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B4F5D" w14:textId="77777777" w:rsidR="00DC4460" w:rsidRPr="00DF1F4E" w:rsidRDefault="00DC4460" w:rsidP="00DC4460">
      <w:pPr>
        <w:jc w:val="center"/>
        <w:rPr>
          <w:rFonts w:ascii="Cambria" w:hAnsi="Cambria"/>
          <w:b/>
          <w:bCs/>
          <w:sz w:val="24"/>
          <w:szCs w:val="24"/>
        </w:rPr>
      </w:pPr>
      <w:r w:rsidRPr="00DF1F4E">
        <w:rPr>
          <w:rFonts w:ascii="Cambria" w:hAnsi="Cambria"/>
          <w:b/>
          <w:bCs/>
          <w:sz w:val="24"/>
          <w:szCs w:val="24"/>
        </w:rPr>
        <w:t>Háttéranyag a növényi-alapú termékek elnevezése kapcsán folyó uniós jogalkotás miatt összehívott FÉSZ elnökségi üléshez</w:t>
      </w:r>
    </w:p>
    <w:p w14:paraId="1870889E" w14:textId="77777777" w:rsidR="00DC4460" w:rsidRDefault="00DC4460" w:rsidP="00DC4460">
      <w:pPr>
        <w:jc w:val="both"/>
        <w:rPr>
          <w:rFonts w:ascii="Cambria" w:hAnsi="Cambria"/>
          <w:sz w:val="24"/>
          <w:szCs w:val="24"/>
        </w:rPr>
      </w:pPr>
      <w:r w:rsidRPr="00322799">
        <w:rPr>
          <w:rFonts w:ascii="Cambria" w:hAnsi="Cambria"/>
          <w:sz w:val="24"/>
          <w:szCs w:val="24"/>
        </w:rPr>
        <w:t>A FÉSZ rendkívüli elnökségi ülés</w:t>
      </w:r>
      <w:r>
        <w:rPr>
          <w:rFonts w:ascii="Cambria" w:hAnsi="Cambria"/>
          <w:sz w:val="24"/>
          <w:szCs w:val="24"/>
        </w:rPr>
        <w:t>e összehívásának</w:t>
      </w:r>
      <w:r w:rsidRPr="00322799">
        <w:rPr>
          <w:rFonts w:ascii="Cambria" w:hAnsi="Cambria"/>
          <w:sz w:val="24"/>
          <w:szCs w:val="24"/>
        </w:rPr>
        <w:t xml:space="preserve"> </w:t>
      </w:r>
      <w:r>
        <w:rPr>
          <w:rFonts w:ascii="Cambria" w:hAnsi="Cambria"/>
          <w:sz w:val="24"/>
          <w:szCs w:val="24"/>
        </w:rPr>
        <w:t>közvetlen aktualitását</w:t>
      </w:r>
      <w:r w:rsidRPr="00322799">
        <w:rPr>
          <w:rFonts w:ascii="Cambria" w:hAnsi="Cambria"/>
          <w:sz w:val="24"/>
          <w:szCs w:val="24"/>
        </w:rPr>
        <w:t xml:space="preserve"> az adja, hogy </w:t>
      </w:r>
      <w:r>
        <w:rPr>
          <w:rFonts w:ascii="Cambria" w:hAnsi="Cambria"/>
          <w:sz w:val="24"/>
          <w:szCs w:val="24"/>
        </w:rPr>
        <w:t xml:space="preserve">az EU-ban új jogalkotási szakaszba lépett a közös piaci szervezetektől szóló („CMO”) rendelet felülvizsgálata és ennek kapcsán ismét a tárgyalóasztalra kerül többek között a növényi alapú fehérjékből készített élelmiszerek elnevezése és leíró jellemzése céljából használható kifejezések korlátozására vonatkozó, parlamenti (ún. 171-es) módosító javaslat. </w:t>
      </w:r>
    </w:p>
    <w:p w14:paraId="3035C31B" w14:textId="77777777" w:rsidR="00DC4460" w:rsidRPr="00034B63" w:rsidRDefault="00DC4460" w:rsidP="00DC4460">
      <w:pPr>
        <w:jc w:val="both"/>
        <w:rPr>
          <w:rFonts w:ascii="Cambria" w:hAnsi="Cambria"/>
          <w:b/>
          <w:bCs/>
          <w:sz w:val="24"/>
          <w:szCs w:val="24"/>
        </w:rPr>
      </w:pPr>
      <w:r w:rsidRPr="00034B63">
        <w:rPr>
          <w:rFonts w:ascii="Cambria" w:hAnsi="Cambria"/>
          <w:b/>
          <w:bCs/>
          <w:sz w:val="24"/>
          <w:szCs w:val="24"/>
        </w:rPr>
        <w:t>Miről szól a módosító?</w:t>
      </w:r>
    </w:p>
    <w:p w14:paraId="198AB502" w14:textId="77777777" w:rsidR="00DC4460" w:rsidRDefault="00DC4460" w:rsidP="00DC4460">
      <w:pPr>
        <w:jc w:val="both"/>
        <w:rPr>
          <w:rFonts w:ascii="Cambria" w:hAnsi="Cambria"/>
          <w:sz w:val="24"/>
          <w:szCs w:val="24"/>
        </w:rPr>
      </w:pPr>
      <w:r>
        <w:rPr>
          <w:rFonts w:ascii="Cambria" w:hAnsi="Cambria"/>
          <w:sz w:val="24"/>
          <w:szCs w:val="24"/>
        </w:rPr>
        <w:t xml:space="preserve">A 171-es módosító lényegében arról szól, hogy a tejtermékek megnevezéseit jelenleg is védő előírások szigorításaként (a tejipar álláspontja szerint pontosításaként) a termékek leírására alkalmazható jelzőket és megjelenítésükre vonatkozó lehetőségeket is </w:t>
      </w:r>
      <w:proofErr w:type="spellStart"/>
      <w:r>
        <w:rPr>
          <w:rFonts w:ascii="Cambria" w:hAnsi="Cambria"/>
          <w:sz w:val="24"/>
          <w:szCs w:val="24"/>
        </w:rPr>
        <w:t>explicite</w:t>
      </w:r>
      <w:proofErr w:type="spellEnd"/>
      <w:r>
        <w:rPr>
          <w:rFonts w:ascii="Cambria" w:hAnsi="Cambria"/>
          <w:sz w:val="24"/>
          <w:szCs w:val="24"/>
        </w:rPr>
        <w:t xml:space="preserve"> korlátozná. </w:t>
      </w:r>
    </w:p>
    <w:p w14:paraId="794ECB2A" w14:textId="77777777" w:rsidR="00DC4460" w:rsidRDefault="00DC4460" w:rsidP="00DC4460">
      <w:pPr>
        <w:jc w:val="both"/>
        <w:rPr>
          <w:rFonts w:ascii="Cambria" w:hAnsi="Cambria"/>
          <w:sz w:val="24"/>
          <w:szCs w:val="24"/>
        </w:rPr>
      </w:pPr>
      <w:r>
        <w:rPr>
          <w:rFonts w:ascii="Cambria" w:hAnsi="Cambria"/>
          <w:sz w:val="24"/>
          <w:szCs w:val="24"/>
        </w:rPr>
        <w:t xml:space="preserve">A húshelyettesítő termékekre vonatkozóan is volt hasonló tartalmú módosító javaslat, az azonban nem került be az EP végleges álláspontjába. </w:t>
      </w:r>
    </w:p>
    <w:p w14:paraId="5ED5085C" w14:textId="77777777" w:rsidR="00DC4460" w:rsidRDefault="00DC4460" w:rsidP="00DC4460">
      <w:pPr>
        <w:jc w:val="both"/>
        <w:rPr>
          <w:rFonts w:ascii="Cambria" w:hAnsi="Cambria"/>
          <w:sz w:val="24"/>
          <w:szCs w:val="24"/>
        </w:rPr>
      </w:pPr>
      <w:r>
        <w:rPr>
          <w:rFonts w:ascii="Cambria" w:hAnsi="Cambria"/>
          <w:sz w:val="24"/>
          <w:szCs w:val="24"/>
        </w:rPr>
        <w:t xml:space="preserve">A javaslat kapcsán zajló vita jelentősége szimbolikus, túlmutat önmagán és egy lassan meg nem kerülhető, élelmiszeriparon belüli konfliktust takar: a fejlett világban globálisan tapasztalható az a folyamat, hogy az egyébként még mindig nagyon kis piaci részesedéssel rendelkező, kizárólag növényi-alapú fehérjékből készített feldolgozott élelmiszerek forgalma folyamatosan nő, ezt az állati eredetű termékeket előállító szakágazatok természetes módon fenyegetésként érzékelik és ennek megfelelő határozottsággal állnak ki a folyamat ellen. </w:t>
      </w:r>
    </w:p>
    <w:p w14:paraId="2DAEA63D" w14:textId="77777777" w:rsidR="00DC4460" w:rsidRPr="00220E30" w:rsidRDefault="00DC4460" w:rsidP="00DC4460">
      <w:pPr>
        <w:jc w:val="both"/>
        <w:rPr>
          <w:rFonts w:ascii="Cambria" w:hAnsi="Cambria"/>
          <w:b/>
          <w:bCs/>
          <w:sz w:val="24"/>
          <w:szCs w:val="24"/>
        </w:rPr>
      </w:pPr>
      <w:r w:rsidRPr="00220E30">
        <w:rPr>
          <w:rFonts w:ascii="Cambria" w:hAnsi="Cambria"/>
          <w:b/>
          <w:bCs/>
          <w:sz w:val="24"/>
          <w:szCs w:val="24"/>
        </w:rPr>
        <w:t xml:space="preserve">Milyen folyamatok zajlanak a </w:t>
      </w:r>
      <w:r>
        <w:rPr>
          <w:rFonts w:ascii="Cambria" w:hAnsi="Cambria"/>
          <w:b/>
          <w:bCs/>
          <w:sz w:val="24"/>
          <w:szCs w:val="24"/>
        </w:rPr>
        <w:t>háttérben</w:t>
      </w:r>
      <w:r w:rsidRPr="00220E30">
        <w:rPr>
          <w:rFonts w:ascii="Cambria" w:hAnsi="Cambria"/>
          <w:b/>
          <w:bCs/>
          <w:sz w:val="24"/>
          <w:szCs w:val="24"/>
        </w:rPr>
        <w:t>?</w:t>
      </w:r>
    </w:p>
    <w:p w14:paraId="202C2C75" w14:textId="77777777" w:rsidR="00DC4460" w:rsidRDefault="00DC4460" w:rsidP="00DC4460">
      <w:pPr>
        <w:jc w:val="both"/>
        <w:rPr>
          <w:rFonts w:ascii="Cambria" w:hAnsi="Cambria"/>
          <w:sz w:val="24"/>
          <w:szCs w:val="24"/>
        </w:rPr>
      </w:pPr>
      <w:r>
        <w:rPr>
          <w:rFonts w:ascii="Cambria" w:hAnsi="Cambria"/>
          <w:sz w:val="24"/>
          <w:szCs w:val="24"/>
        </w:rPr>
        <w:t>Tény, hogy ezeket a termékeket a fogyasztók részben egészségügyi okokból, részben környezetvédelmi és/vagy etikai megfontolásokból vásárolják és sok esetben ezeket a termékeket az étrendjükbe állati eredetű termékek helyett illesztik be. Az említett három fogyasztói megfontoláshoz kapcsolódóan pedig végeláthatatlan, hol egymással összekapcsolódó, hol pedig szerteágazó viták zajlanak, ma még elsősorban az élelmiszeriparon belül arról, hogy termékhamisításról, igaztalan vádakról, új fogyasztói igények kielégítésére alkalmas innovatív élelmiszercsoportról, környezet- és klímavédelmi szempontú szükségszerűségről, az állatkínzás elleni küzdelemről, esetleg táplálkozástudományi szempontból kifogásolható termékekről van-e szó, vagy mindezek ellenkezője az igaz. A módosító körüli adok-</w:t>
      </w:r>
      <w:proofErr w:type="spellStart"/>
      <w:r>
        <w:rPr>
          <w:rFonts w:ascii="Cambria" w:hAnsi="Cambria"/>
          <w:sz w:val="24"/>
          <w:szCs w:val="24"/>
        </w:rPr>
        <w:t>kapokban</w:t>
      </w:r>
      <w:proofErr w:type="spellEnd"/>
      <w:r>
        <w:rPr>
          <w:rFonts w:ascii="Cambria" w:hAnsi="Cambria"/>
          <w:sz w:val="24"/>
          <w:szCs w:val="24"/>
        </w:rPr>
        <w:t xml:space="preserve"> előkerül az a nézet is, hogy mind a globális, mind az európai uniós klímavédelmi törekvések kifejezetten szükségesnek tartják a táplálkozásunk fenntarthatóbbá tételét és ennek érdekében például a F2F stratégia célként tűzi ki többek közt a növényi-eredetű élelmiszerek fogyasztásának növelését, az alternatív fehérjeforrások termesztésének támogatását.</w:t>
      </w:r>
    </w:p>
    <w:p w14:paraId="59B2441E" w14:textId="77777777" w:rsidR="00DC4460" w:rsidRDefault="00DC4460" w:rsidP="00DC4460">
      <w:pPr>
        <w:jc w:val="both"/>
        <w:rPr>
          <w:rFonts w:ascii="Cambria" w:hAnsi="Cambria"/>
          <w:sz w:val="24"/>
          <w:szCs w:val="24"/>
        </w:rPr>
      </w:pPr>
      <w:r>
        <w:rPr>
          <w:rFonts w:ascii="Cambria" w:hAnsi="Cambria"/>
          <w:sz w:val="24"/>
          <w:szCs w:val="24"/>
        </w:rPr>
        <w:t xml:space="preserve">Az kijelenthető, hogy mára az élelmiszeripar jelentős megosztottsága tapasztalható ebben a kérdésben és mint oly sok, az élelmiszerekkel és a táplálkozással foglalkozó vita esetében, itt is igaz, hogy ezek a kérdések összetettségük okán egyszerűen és </w:t>
      </w:r>
      <w:proofErr w:type="spellStart"/>
      <w:r>
        <w:rPr>
          <w:rFonts w:ascii="Cambria" w:hAnsi="Cambria"/>
          <w:sz w:val="24"/>
          <w:szCs w:val="24"/>
        </w:rPr>
        <w:t>kategórikusan</w:t>
      </w:r>
      <w:proofErr w:type="spellEnd"/>
      <w:r>
        <w:rPr>
          <w:rFonts w:ascii="Cambria" w:hAnsi="Cambria"/>
          <w:sz w:val="24"/>
          <w:szCs w:val="24"/>
        </w:rPr>
        <w:t xml:space="preserve"> nem megválaszolhatók. A növényi-alapú élelmiszerek előállítása nem ab </w:t>
      </w:r>
      <w:r>
        <w:rPr>
          <w:rFonts w:ascii="Cambria" w:hAnsi="Cambria"/>
          <w:sz w:val="24"/>
          <w:szCs w:val="24"/>
        </w:rPr>
        <w:lastRenderedPageBreak/>
        <w:t>ovo fenntarthatóbb, mint az állati eredetűeké, ez utóbbiakból készülő élelmiszerek pedig nem ab ovo kedvezőbb és megfelelőbb összetételűek táplálkozási szempontból, mint növényi társaik. Azt is érdekes megfigyelni, hogy más vitákban (pl. élelmiszerjelölés) az élelmiszeripar képviselői előszeretettel hangsúlyozzák, hogy az egyes élelmiszereket nem önmagukban kell minősíteni, hanem egy étrend részeként kell kezelni. Itt most ezzel ellentétes érveléseket is láthatunk.</w:t>
      </w:r>
    </w:p>
    <w:p w14:paraId="26EC14E8" w14:textId="77777777" w:rsidR="00DC4460" w:rsidRPr="00322799" w:rsidRDefault="00DC4460" w:rsidP="00DC4460">
      <w:pPr>
        <w:jc w:val="both"/>
        <w:rPr>
          <w:rFonts w:ascii="Cambria" w:hAnsi="Cambria"/>
          <w:sz w:val="24"/>
          <w:szCs w:val="24"/>
        </w:rPr>
      </w:pPr>
      <w:r>
        <w:rPr>
          <w:rFonts w:ascii="Cambria" w:hAnsi="Cambria"/>
          <w:sz w:val="24"/>
          <w:szCs w:val="24"/>
        </w:rPr>
        <w:t xml:space="preserve">A koronavírus-járvány számos tanulsággal szolgált az élelmiszergazdaság számára, többek között rámutatott arra, hogy a fogyasztók gyorsan meg tudják változtatni az igényeiket. Az is tény, hogy több olyan fogyasztási trend is van, amelyek a járvány hatására felgyorsultak. Ezek közé tartozik a növényi-alapú termékek fogyasztásának növekedése is. Emellett mára globálisan a legnépesebb fogyasztói csoportnak a Z generáció számít, akik körében a klímavédelmi és etikai szempontok érvényesítése az életmódjuk alakításában kimutathatóan erős. </w:t>
      </w:r>
    </w:p>
    <w:p w14:paraId="49EAD23C" w14:textId="77777777" w:rsidR="00DC4460" w:rsidRDefault="00DC4460" w:rsidP="00DC4460">
      <w:pPr>
        <w:jc w:val="both"/>
        <w:rPr>
          <w:rFonts w:ascii="Cambria" w:hAnsi="Cambria"/>
          <w:sz w:val="24"/>
          <w:szCs w:val="24"/>
        </w:rPr>
      </w:pPr>
      <w:r>
        <w:rPr>
          <w:rFonts w:ascii="Cambria" w:hAnsi="Cambria"/>
          <w:sz w:val="24"/>
          <w:szCs w:val="24"/>
        </w:rPr>
        <w:t xml:space="preserve">Az élelmiszeripar egy része ezekben a folyamatokban természetesen üzleti lehetőséget lát és ennek megfelelően elindult vagy a hagyományos növényi termékek újfajta üzenetekre építő marketingjével, vagy olyan feldolgozott élelmiszerek kifejlesztésébe és piacra dobásába invesztál, amelyek felveszik a versenyt fogyasztási élményben (ízben, állagban) és tápanyag-tartalomban is az állati eredetű társaikkal. </w:t>
      </w:r>
    </w:p>
    <w:p w14:paraId="50902C5A" w14:textId="77777777" w:rsidR="00DC4460" w:rsidRPr="005D384D" w:rsidRDefault="00DC4460" w:rsidP="00DC4460">
      <w:pPr>
        <w:jc w:val="both"/>
        <w:rPr>
          <w:rFonts w:ascii="Cambria" w:hAnsi="Cambria"/>
          <w:sz w:val="24"/>
          <w:szCs w:val="24"/>
        </w:rPr>
      </w:pPr>
      <w:r>
        <w:rPr>
          <w:rFonts w:ascii="Cambria" w:hAnsi="Cambria"/>
          <w:sz w:val="24"/>
          <w:szCs w:val="24"/>
        </w:rPr>
        <w:t xml:space="preserve">Végül, de nem utolsó sorban nem szabad megfeledkezni arról, hogy egyébként is egyre nő azon témák száma, amelyekben a korábbi időszakhoz képest egyre inkább polarizálódik az élelmiszeripar és egyre több olyan kérdés merül fel, ahol éles érdekellentétek osztják meg a gyártókat (származásihely jelölés, tápértékjelölés, elhízás elleni küzdelem módja, táplálkozási célú termékfejlesztések, környezeti lábnyom). Ugyanakkor az európai jogalkotás az uniós élelmiszerpiac egészére vonatkoztatva hozza meg jogszabályait, ezért az ipar megosztottsága gyengíti a tárgyalási pozícióit és érdekérvényesítő képességét, </w:t>
      </w:r>
      <w:r w:rsidRPr="005D384D">
        <w:rPr>
          <w:rFonts w:ascii="Cambria" w:hAnsi="Cambria"/>
          <w:sz w:val="24"/>
          <w:szCs w:val="24"/>
        </w:rPr>
        <w:t xml:space="preserve">ahogy ennek egyébként számos bizonyítékát látjuk a jogalkotás területén. </w:t>
      </w:r>
    </w:p>
    <w:p w14:paraId="46024965" w14:textId="77777777" w:rsidR="00DC4460" w:rsidRPr="005D384D" w:rsidRDefault="00DC4460" w:rsidP="00DC4460">
      <w:pPr>
        <w:jc w:val="both"/>
        <w:rPr>
          <w:rFonts w:ascii="Cambria" w:hAnsi="Cambria"/>
          <w:i/>
          <w:iCs/>
          <w:sz w:val="24"/>
          <w:szCs w:val="24"/>
        </w:rPr>
      </w:pPr>
      <w:r w:rsidRPr="005D384D">
        <w:rPr>
          <w:rFonts w:ascii="Cambria" w:hAnsi="Cambria"/>
          <w:i/>
          <w:iCs/>
          <w:sz w:val="24"/>
          <w:szCs w:val="24"/>
        </w:rPr>
        <w:t>Mindezek alapján az élelmiszeripari ernyő szervezetek, köztük a FÉSZ is, hamarosan szembe találják magukat azzal a kérdéssel (most éppen a 171-es módosító kapcsán), hogy</w:t>
      </w:r>
    </w:p>
    <w:p w14:paraId="60C67338" w14:textId="77777777" w:rsidR="00DC4460" w:rsidRPr="005D384D" w:rsidRDefault="00DC4460" w:rsidP="00DC4460">
      <w:pPr>
        <w:pStyle w:val="Listaszerbekezds"/>
        <w:numPr>
          <w:ilvl w:val="0"/>
          <w:numId w:val="1"/>
        </w:numPr>
        <w:ind w:left="426"/>
        <w:jc w:val="both"/>
        <w:rPr>
          <w:rFonts w:ascii="Cambria" w:hAnsi="Cambria"/>
          <w:i/>
          <w:iCs/>
          <w:sz w:val="24"/>
          <w:szCs w:val="24"/>
        </w:rPr>
      </w:pPr>
      <w:r w:rsidRPr="005D384D">
        <w:rPr>
          <w:rFonts w:ascii="Cambria" w:hAnsi="Cambria"/>
          <w:i/>
          <w:iCs/>
          <w:sz w:val="24"/>
          <w:szCs w:val="24"/>
        </w:rPr>
        <w:t xml:space="preserve">helyzetüknél fogva úgy látják, hogy inkább állást kell foglalniuk valamilyen szakmai/nemzeti ágazatpolitikai/politikai elgondolás mentén valamelyik „oldal” mellett, </w:t>
      </w:r>
    </w:p>
    <w:p w14:paraId="383F08C8" w14:textId="77777777" w:rsidR="00DC4460" w:rsidRPr="005D384D" w:rsidRDefault="00DC4460" w:rsidP="00DC4460">
      <w:pPr>
        <w:pStyle w:val="Listaszerbekezds"/>
        <w:ind w:left="426"/>
        <w:jc w:val="both"/>
        <w:rPr>
          <w:rFonts w:ascii="Cambria" w:hAnsi="Cambria"/>
          <w:i/>
          <w:iCs/>
          <w:sz w:val="24"/>
          <w:szCs w:val="24"/>
        </w:rPr>
      </w:pPr>
      <w:r w:rsidRPr="005D384D">
        <w:rPr>
          <w:rFonts w:ascii="Cambria" w:hAnsi="Cambria"/>
          <w:i/>
          <w:iCs/>
          <w:sz w:val="24"/>
          <w:szCs w:val="24"/>
        </w:rPr>
        <w:t xml:space="preserve">vagy </w:t>
      </w:r>
    </w:p>
    <w:p w14:paraId="6540A789" w14:textId="77777777" w:rsidR="00DC4460" w:rsidRPr="005D384D" w:rsidRDefault="00DC4460" w:rsidP="00DC4460">
      <w:pPr>
        <w:pStyle w:val="Listaszerbekezds"/>
        <w:numPr>
          <w:ilvl w:val="0"/>
          <w:numId w:val="1"/>
        </w:numPr>
        <w:ind w:left="426"/>
        <w:jc w:val="both"/>
        <w:rPr>
          <w:rFonts w:ascii="Cambria" w:hAnsi="Cambria"/>
          <w:i/>
          <w:iCs/>
          <w:sz w:val="24"/>
          <w:szCs w:val="24"/>
        </w:rPr>
      </w:pPr>
      <w:r w:rsidRPr="005D384D">
        <w:rPr>
          <w:rFonts w:ascii="Cambria" w:hAnsi="Cambria"/>
          <w:i/>
          <w:iCs/>
          <w:sz w:val="24"/>
          <w:szCs w:val="24"/>
        </w:rPr>
        <w:t>tagjaik érdekellentéte miatt csendben maradnak</w:t>
      </w:r>
    </w:p>
    <w:p w14:paraId="7C682C86" w14:textId="77777777" w:rsidR="00DC4460" w:rsidRPr="005D384D" w:rsidRDefault="00DC4460" w:rsidP="00DC4460">
      <w:pPr>
        <w:pStyle w:val="Listaszerbekezds"/>
        <w:ind w:left="426"/>
        <w:jc w:val="both"/>
        <w:rPr>
          <w:rFonts w:ascii="Cambria" w:hAnsi="Cambria"/>
          <w:i/>
          <w:iCs/>
          <w:sz w:val="24"/>
          <w:szCs w:val="24"/>
        </w:rPr>
      </w:pPr>
      <w:r w:rsidRPr="005D384D">
        <w:rPr>
          <w:rFonts w:ascii="Cambria" w:hAnsi="Cambria"/>
          <w:i/>
          <w:iCs/>
          <w:sz w:val="24"/>
          <w:szCs w:val="24"/>
        </w:rPr>
        <w:t xml:space="preserve">vagy </w:t>
      </w:r>
    </w:p>
    <w:p w14:paraId="43811740" w14:textId="77777777" w:rsidR="00DC4460" w:rsidRPr="005D384D" w:rsidRDefault="00DC4460" w:rsidP="00DC4460">
      <w:pPr>
        <w:pStyle w:val="Listaszerbekezds"/>
        <w:numPr>
          <w:ilvl w:val="0"/>
          <w:numId w:val="1"/>
        </w:numPr>
        <w:ind w:left="426"/>
        <w:jc w:val="both"/>
        <w:rPr>
          <w:rFonts w:ascii="Cambria" w:hAnsi="Cambria"/>
          <w:i/>
          <w:iCs/>
          <w:sz w:val="24"/>
          <w:szCs w:val="24"/>
        </w:rPr>
      </w:pPr>
      <w:r w:rsidRPr="005D384D">
        <w:rPr>
          <w:rFonts w:ascii="Cambria" w:hAnsi="Cambria"/>
          <w:i/>
          <w:iCs/>
          <w:sz w:val="24"/>
          <w:szCs w:val="24"/>
        </w:rPr>
        <w:t xml:space="preserve">szükségesnek/lehetségesnek tartják-e a szakágazatok közti konfliktust tárgyilagosan elemezni és az előremutató irányokat megragadni, a szembenállás helyett a szektorban rejlő hazai gyártási potenciál kiaknázására és a szükséges fejlesztésekre fókuszálni, esetleg egy etikai kódex megalkotásáról indítani közös gondolkodást </w:t>
      </w:r>
    </w:p>
    <w:p w14:paraId="4A65D4C8" w14:textId="77777777" w:rsidR="00DC4460" w:rsidRPr="005D384D" w:rsidRDefault="00DC4460" w:rsidP="00DC4460">
      <w:pPr>
        <w:jc w:val="both"/>
        <w:rPr>
          <w:rFonts w:ascii="Cambria" w:hAnsi="Cambria"/>
          <w:i/>
          <w:iCs/>
          <w:sz w:val="24"/>
          <w:szCs w:val="24"/>
        </w:rPr>
      </w:pPr>
      <w:r w:rsidRPr="005D384D">
        <w:rPr>
          <w:rFonts w:ascii="Cambria" w:hAnsi="Cambria"/>
          <w:i/>
          <w:iCs/>
          <w:sz w:val="24"/>
          <w:szCs w:val="24"/>
        </w:rPr>
        <w:t xml:space="preserve">Mindhárom esetben vállalva ezek rövid- és hosszú távú következményeit. A FÉSZ esetében az árnyalja a képet, hogy rendelkezik dedikált növényi-alapú gyártói tagozattal, húsipari-, és tejipari tagszövetséggel. </w:t>
      </w:r>
    </w:p>
    <w:p w14:paraId="3FA0D107" w14:textId="77777777" w:rsidR="00DC4460" w:rsidRPr="005D384D" w:rsidRDefault="00DC4460" w:rsidP="00DC4460">
      <w:pPr>
        <w:jc w:val="both"/>
        <w:rPr>
          <w:rFonts w:ascii="Cambria" w:hAnsi="Cambria"/>
          <w:b/>
          <w:bCs/>
          <w:sz w:val="24"/>
          <w:szCs w:val="24"/>
        </w:rPr>
      </w:pPr>
    </w:p>
    <w:p w14:paraId="177FC141" w14:textId="77777777" w:rsidR="00DC4460" w:rsidRPr="005D384D" w:rsidRDefault="00DC4460" w:rsidP="00DC4460">
      <w:pPr>
        <w:jc w:val="both"/>
        <w:rPr>
          <w:rFonts w:ascii="Cambria" w:hAnsi="Cambria"/>
          <w:b/>
          <w:bCs/>
          <w:sz w:val="24"/>
          <w:szCs w:val="24"/>
        </w:rPr>
      </w:pPr>
      <w:r w:rsidRPr="005D384D">
        <w:rPr>
          <w:rFonts w:ascii="Cambria" w:hAnsi="Cambria"/>
          <w:b/>
          <w:bCs/>
          <w:sz w:val="24"/>
          <w:szCs w:val="24"/>
        </w:rPr>
        <w:lastRenderedPageBreak/>
        <w:t xml:space="preserve">A jogalkotás további menete, a nemzeti álláspont kialakítása </w:t>
      </w:r>
    </w:p>
    <w:p w14:paraId="1B258793" w14:textId="77777777" w:rsidR="00DC4460" w:rsidRPr="005D384D" w:rsidRDefault="00DC4460" w:rsidP="00DC4460">
      <w:pPr>
        <w:jc w:val="both"/>
        <w:rPr>
          <w:rFonts w:ascii="Cambria" w:hAnsi="Cambria"/>
          <w:sz w:val="24"/>
          <w:szCs w:val="24"/>
        </w:rPr>
      </w:pPr>
      <w:r w:rsidRPr="005D384D">
        <w:rPr>
          <w:rFonts w:ascii="Cambria" w:hAnsi="Cambria"/>
          <w:sz w:val="24"/>
          <w:szCs w:val="24"/>
        </w:rPr>
        <w:t xml:space="preserve">A jogalkotás következő (első olvasati </w:t>
      </w:r>
      <w:proofErr w:type="spellStart"/>
      <w:r w:rsidRPr="005D384D">
        <w:rPr>
          <w:rFonts w:ascii="Cambria" w:hAnsi="Cambria"/>
          <w:sz w:val="24"/>
          <w:szCs w:val="24"/>
        </w:rPr>
        <w:t>trialógus</w:t>
      </w:r>
      <w:proofErr w:type="spellEnd"/>
      <w:r w:rsidRPr="005D384D">
        <w:rPr>
          <w:rFonts w:ascii="Cambria" w:hAnsi="Cambria"/>
          <w:sz w:val="24"/>
          <w:szCs w:val="24"/>
        </w:rPr>
        <w:t xml:space="preserve">) szakaszában a Tanács, a Parlament és a Bizottság tárgyal a módosítókról, csomagokban. A Tanácsban pedig a tagállamok agrárminiszterei képviselik majd ebben a kérdésben a nemzeti álláspontokat. A módosítóban tárgyalt kérdés előreláthatóan március-áprilisban kerülhet tárgyalásra. A magyar mandátum kialakításakor pedig a FÉSZ állást foglalhat az ügyben. </w:t>
      </w:r>
    </w:p>
    <w:p w14:paraId="09CEC548" w14:textId="77777777" w:rsidR="00DC4460" w:rsidRPr="005D384D" w:rsidRDefault="00DC4460" w:rsidP="00DC4460">
      <w:pPr>
        <w:jc w:val="both"/>
        <w:rPr>
          <w:rFonts w:ascii="Cambria" w:hAnsi="Cambria"/>
          <w:b/>
          <w:bCs/>
          <w:sz w:val="24"/>
          <w:szCs w:val="24"/>
        </w:rPr>
      </w:pPr>
      <w:r w:rsidRPr="005D384D">
        <w:rPr>
          <w:rFonts w:ascii="Cambria" w:hAnsi="Cambria"/>
          <w:b/>
          <w:bCs/>
          <w:sz w:val="24"/>
          <w:szCs w:val="24"/>
        </w:rPr>
        <w:t>Az érintettek álláspontja</w:t>
      </w:r>
    </w:p>
    <w:p w14:paraId="5C731B71" w14:textId="77777777" w:rsidR="00DC4460" w:rsidRPr="005D384D" w:rsidRDefault="00DC4460" w:rsidP="00DC4460">
      <w:pPr>
        <w:jc w:val="both"/>
        <w:rPr>
          <w:rFonts w:ascii="Cambria" w:hAnsi="Cambria"/>
          <w:sz w:val="24"/>
          <w:szCs w:val="24"/>
        </w:rPr>
      </w:pPr>
      <w:r w:rsidRPr="005D384D">
        <w:rPr>
          <w:rFonts w:ascii="Cambria" w:hAnsi="Cambria"/>
          <w:sz w:val="24"/>
          <w:szCs w:val="24"/>
        </w:rPr>
        <w:t xml:space="preserve">A növényi-alapú élelmiszerek gyártói Európa szerte küzdenek a módosító elfogadása ellen, mert </w:t>
      </w:r>
      <w:hyperlink r:id="rId5" w:history="1">
        <w:r w:rsidRPr="00D75E6B">
          <w:rPr>
            <w:rStyle w:val="Hiperhivatkozs"/>
            <w:rFonts w:ascii="Cambria" w:hAnsi="Cambria"/>
            <w:sz w:val="24"/>
            <w:szCs w:val="24"/>
          </w:rPr>
          <w:t>álláspontjuk</w:t>
        </w:r>
      </w:hyperlink>
      <w:r w:rsidRPr="005D384D">
        <w:rPr>
          <w:rFonts w:ascii="Cambria" w:hAnsi="Cambria"/>
          <w:sz w:val="24"/>
          <w:szCs w:val="24"/>
        </w:rPr>
        <w:t xml:space="preserve"> szerint a termékek piaci esélyegyenlőségét és a gyártók jogbiztonságát jelentősen rontaná az intézkedés, lehetetlenné téve számukra, hogy a saját termékükről érthetően és világosan kommunikáljanak a fogyasztókkal. Emellett szerintük a több, mint harminc éve hatályban lévő európai rendelkezések eddig is világosan szabályozták a tejtermékekkel kapcsolatos kifejezések használatát, valamint gondoskodnak a fogyasztók megtévesztésének tilalmáról. Azt is hangsúlyozzák, hogy a növényi-alapú élelmiszerek szegmensének erősödése az uniós és hazai élelmiszergazdaság számára egyaránt növekedési lehetőséget jelent és elengedhetetlen a fenntarthatóbb élelmiszer-előállítás és választék kialakításához, amely kívánalmak szerepelnek az uniós F2F stratégiában is.</w:t>
      </w:r>
    </w:p>
    <w:p w14:paraId="46F0B869" w14:textId="77777777" w:rsidR="00DC4460" w:rsidRPr="005D384D" w:rsidRDefault="00DC4460" w:rsidP="00DC4460">
      <w:pPr>
        <w:jc w:val="both"/>
        <w:rPr>
          <w:rFonts w:ascii="Cambria" w:hAnsi="Cambria"/>
          <w:sz w:val="24"/>
          <w:szCs w:val="24"/>
        </w:rPr>
      </w:pPr>
      <w:r w:rsidRPr="005D384D">
        <w:rPr>
          <w:rFonts w:ascii="Cambria" w:hAnsi="Cambria"/>
          <w:sz w:val="24"/>
          <w:szCs w:val="24"/>
        </w:rPr>
        <w:t xml:space="preserve">A módosítóról a tejfeldolgozó ágazat képviselőinek eltérő a véleménye. Az ő </w:t>
      </w:r>
      <w:hyperlink r:id="rId6" w:history="1">
        <w:r w:rsidRPr="004613DE">
          <w:rPr>
            <w:rStyle w:val="Hiperhivatkozs"/>
            <w:rFonts w:ascii="Cambria" w:hAnsi="Cambria"/>
            <w:sz w:val="24"/>
            <w:szCs w:val="24"/>
          </w:rPr>
          <w:t>álláspontjuk</w:t>
        </w:r>
      </w:hyperlink>
      <w:r w:rsidRPr="005D384D">
        <w:rPr>
          <w:rFonts w:ascii="Cambria" w:hAnsi="Cambria"/>
          <w:sz w:val="24"/>
          <w:szCs w:val="24"/>
        </w:rPr>
        <w:t xml:space="preserve"> szerint a tervezet nem szigorítja, hanem pontosítja és egyértelműsíti a tejtermékek megnevezésének eddig is hatályban lévő uniós védelmét. Szerintük a módosító nem akadályozza meg, hogy az érintett növényi-alapú termékeken feltüntessék a „laktózérzékenyek számára megfelelő termék” állítást, és kijelentik, hogy a tejtermékek fogyasztása alapvető szerepet játszik abban, hogy az étrendek többsége tápanyagokban gazdagabb, környezetvédelmi szempontból kedvezőbb és anyagi szempontból mindenki számára elérhető legyen. Álláspontjukban utalnak az európai tejfeldolgozó ágazat fenntarthatósági törekvéseire és az állattartás agrárökológiai szerepére. Szerintük a módosító elfogadása szükséges ahhoz, hogy egy termékre ránézve a fogyasztók egyértelműen érthessék, hogy a tejtermék állati eredetű. </w:t>
      </w:r>
    </w:p>
    <w:p w14:paraId="1BDF5F60" w14:textId="77777777" w:rsidR="00DC4460" w:rsidRPr="005D384D" w:rsidRDefault="00DC4460" w:rsidP="00DC4460">
      <w:pPr>
        <w:jc w:val="both"/>
        <w:rPr>
          <w:rFonts w:ascii="Cambria" w:hAnsi="Cambria"/>
          <w:i/>
          <w:iCs/>
          <w:sz w:val="24"/>
          <w:szCs w:val="24"/>
        </w:rPr>
      </w:pPr>
      <w:r w:rsidRPr="005D384D">
        <w:rPr>
          <w:rFonts w:ascii="Cambria" w:hAnsi="Cambria"/>
          <w:i/>
          <w:iCs/>
          <w:sz w:val="24"/>
          <w:szCs w:val="24"/>
        </w:rPr>
        <w:t xml:space="preserve">A FÉSZ közelmúltban megalakult növényi-alapú élelmiszerek gyártói tagozata jelezte az Igazgatóság számára, hogy az Elnökség elé kívánja vinni a kérdést és javasolja, hogy a fentiek alapján a termékeik piaci egyenlő esélyeinek védelme érdekében, az álláspontjuk szerint a magyar élelmiszergazdaság számára is növekedési potenciált jelentő termékkör fejlesztését hátráltató 171-es módosító elvetésére vonatkozó, levelünkhöz szintén mellékelt álláspont-tervezetet a FÉSZ Elnöksége tárgyalja meg annak érdekében, hogy a magyar tanácsi álláspont kialakításakor azt a minisztérium figyelmébe ajánlhassuk. </w:t>
      </w:r>
    </w:p>
    <w:p w14:paraId="635AA76F" w14:textId="77777777" w:rsidR="00DC4460" w:rsidRDefault="00DC4460" w:rsidP="00DC4460">
      <w:pPr>
        <w:jc w:val="both"/>
        <w:rPr>
          <w:rFonts w:ascii="Cambria" w:hAnsi="Cambria"/>
          <w:sz w:val="24"/>
          <w:szCs w:val="24"/>
        </w:rPr>
      </w:pPr>
    </w:p>
    <w:p w14:paraId="27D64B0E" w14:textId="77777777" w:rsidR="00DC4460" w:rsidRPr="00C06D09" w:rsidRDefault="00DC4460" w:rsidP="00DC4460">
      <w:pPr>
        <w:jc w:val="both"/>
        <w:rPr>
          <w:rFonts w:ascii="Cambria" w:hAnsi="Cambria"/>
          <w:sz w:val="24"/>
          <w:szCs w:val="24"/>
        </w:rPr>
      </w:pPr>
      <w:r>
        <w:rPr>
          <w:rFonts w:ascii="Cambria" w:hAnsi="Cambria"/>
          <w:sz w:val="24"/>
          <w:szCs w:val="24"/>
        </w:rPr>
        <w:t>Budapest, 2021. február 23.</w:t>
      </w:r>
    </w:p>
    <w:p w14:paraId="6E850BA0" w14:textId="77777777" w:rsidR="00692580" w:rsidRDefault="00692580"/>
    <w:sectPr w:rsidR="00692580">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569152"/>
      <w:docPartObj>
        <w:docPartGallery w:val="Page Numbers (Bottom of Page)"/>
        <w:docPartUnique/>
      </w:docPartObj>
    </w:sdtPr>
    <w:sdtEndPr>
      <w:rPr>
        <w:rFonts w:ascii="Cambria" w:hAnsi="Cambria"/>
        <w:sz w:val="20"/>
        <w:szCs w:val="20"/>
      </w:rPr>
    </w:sdtEndPr>
    <w:sdtContent>
      <w:p w14:paraId="575CE08B" w14:textId="77777777" w:rsidR="007D2D90" w:rsidRPr="007D2D90" w:rsidRDefault="00DC4460" w:rsidP="007D2D90">
        <w:pPr>
          <w:pStyle w:val="llb"/>
          <w:jc w:val="right"/>
          <w:rPr>
            <w:rFonts w:ascii="Cambria" w:hAnsi="Cambria"/>
            <w:sz w:val="20"/>
            <w:szCs w:val="20"/>
          </w:rPr>
        </w:pPr>
        <w:r w:rsidRPr="007D2D90">
          <w:rPr>
            <w:rFonts w:ascii="Cambria" w:hAnsi="Cambria"/>
            <w:sz w:val="20"/>
            <w:szCs w:val="20"/>
          </w:rPr>
          <w:fldChar w:fldCharType="begin"/>
        </w:r>
        <w:r w:rsidRPr="007D2D90">
          <w:rPr>
            <w:rFonts w:ascii="Cambria" w:hAnsi="Cambria"/>
            <w:sz w:val="20"/>
            <w:szCs w:val="20"/>
          </w:rPr>
          <w:instrText>PAGE   \* MERGEFORMAT</w:instrText>
        </w:r>
        <w:r w:rsidRPr="007D2D90">
          <w:rPr>
            <w:rFonts w:ascii="Cambria" w:hAnsi="Cambria"/>
            <w:sz w:val="20"/>
            <w:szCs w:val="20"/>
          </w:rPr>
          <w:fldChar w:fldCharType="separate"/>
        </w:r>
        <w:r w:rsidRPr="007D2D90">
          <w:rPr>
            <w:rFonts w:ascii="Cambria" w:hAnsi="Cambria"/>
            <w:sz w:val="20"/>
            <w:szCs w:val="20"/>
          </w:rPr>
          <w:t>2</w:t>
        </w:r>
        <w:r w:rsidRPr="007D2D90">
          <w:rPr>
            <w:rFonts w:ascii="Cambria" w:hAnsi="Cambria"/>
            <w:sz w:val="20"/>
            <w:szCs w:val="20"/>
          </w:rPr>
          <w:fldChar w:fldCharType="end"/>
        </w:r>
        <w:r>
          <w:rPr>
            <w:rFonts w:ascii="Cambria" w:hAnsi="Cambria"/>
            <w:sz w:val="20"/>
            <w:szCs w:val="20"/>
          </w:rPr>
          <w:t>.</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47022"/>
    <w:multiLevelType w:val="hybridMultilevel"/>
    <w:tmpl w:val="508A22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60"/>
    <w:rsid w:val="00692580"/>
    <w:rsid w:val="00DC44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09C"/>
  <w15:chartTrackingRefBased/>
  <w15:docId w15:val="{43A279FD-96EB-4185-BEBB-E1D27EC3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446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C4460"/>
    <w:pPr>
      <w:ind w:left="720"/>
      <w:contextualSpacing/>
    </w:pPr>
  </w:style>
  <w:style w:type="character" w:styleId="Hiperhivatkozs">
    <w:name w:val="Hyperlink"/>
    <w:basedOn w:val="Bekezdsalapbettpusa"/>
    <w:uiPriority w:val="99"/>
    <w:unhideWhenUsed/>
    <w:rsid w:val="00DC4460"/>
    <w:rPr>
      <w:color w:val="0563C1" w:themeColor="hyperlink"/>
      <w:u w:val="single"/>
    </w:rPr>
  </w:style>
  <w:style w:type="paragraph" w:styleId="llb">
    <w:name w:val="footer"/>
    <w:basedOn w:val="Norml"/>
    <w:link w:val="llbChar"/>
    <w:uiPriority w:val="99"/>
    <w:unhideWhenUsed/>
    <w:rsid w:val="00DC4460"/>
    <w:pPr>
      <w:tabs>
        <w:tab w:val="center" w:pos="4536"/>
        <w:tab w:val="right" w:pos="9072"/>
      </w:tabs>
      <w:spacing w:after="0" w:line="240" w:lineRule="auto"/>
    </w:pPr>
  </w:style>
  <w:style w:type="character" w:customStyle="1" w:styleId="llbChar">
    <w:name w:val="Élőláb Char"/>
    <w:basedOn w:val="Bekezdsalapbettpusa"/>
    <w:link w:val="llb"/>
    <w:uiPriority w:val="99"/>
    <w:rsid w:val="00DC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a.euromilk.org/uploads/media/EDA_letter_on_protection_of_dairy_terms_-_February_2021.pdf" TargetMode="External"/><Relationship Id="rId5" Type="http://schemas.openxmlformats.org/officeDocument/2006/relationships/hyperlink" Target="https://plantbasedfoodalliance.eu/wp-content/uploads/2021/02/FINAL_Multi-stakeholder-letter-Am171-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8033</Characters>
  <Application>Microsoft Office Word</Application>
  <DocSecurity>0</DocSecurity>
  <Lines>66</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Vörös</dc:creator>
  <cp:keywords/>
  <dc:description/>
  <cp:lastModifiedBy>Attila Vörös</cp:lastModifiedBy>
  <cp:revision>1</cp:revision>
  <dcterms:created xsi:type="dcterms:W3CDTF">2021-02-23T20:14:00Z</dcterms:created>
  <dcterms:modified xsi:type="dcterms:W3CDTF">2021-02-23T20:14:00Z</dcterms:modified>
</cp:coreProperties>
</file>